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40" w:rsidRPr="00BF7440" w:rsidRDefault="00BF7440" w:rsidP="00BF7440">
      <w:pPr>
        <w:pStyle w:val="1"/>
        <w:spacing w:line="276" w:lineRule="auto"/>
        <w:jc w:val="center"/>
        <w:rPr>
          <w:b/>
          <w:color w:val="auto"/>
          <w:sz w:val="24"/>
          <w:szCs w:val="24"/>
        </w:rPr>
      </w:pPr>
      <w:r w:rsidRPr="00BF7440">
        <w:rPr>
          <w:b/>
          <w:color w:val="auto"/>
          <w:sz w:val="24"/>
          <w:szCs w:val="24"/>
        </w:rPr>
        <w:t>Повідомлення про намір отримати дозвіл на викиди забруднюючих речовин в атмосферне повітря стаціонарними джерелами</w:t>
      </w:r>
    </w:p>
    <w:p w:rsidR="00BF7440" w:rsidRPr="00BF7440" w:rsidRDefault="00BF7440" w:rsidP="00BF7440">
      <w:pPr>
        <w:ind w:firstLine="567"/>
        <w:jc w:val="center"/>
        <w:rPr>
          <w:b/>
        </w:rPr>
      </w:pPr>
    </w:p>
    <w:p w:rsidR="00EB77BB" w:rsidRPr="00B674C5" w:rsidRDefault="00EB77BB" w:rsidP="00EB77BB">
      <w:pPr>
        <w:ind w:firstLine="567"/>
        <w:jc w:val="center"/>
        <w:rPr>
          <w:b/>
        </w:rPr>
      </w:pPr>
    </w:p>
    <w:p w:rsidR="00EB77BB" w:rsidRPr="00B674C5" w:rsidRDefault="00EB77BB" w:rsidP="00EB77BB">
      <w:pPr>
        <w:ind w:firstLine="567"/>
        <w:jc w:val="both"/>
        <w:rPr>
          <w:iCs/>
          <w:lang w:eastAsia="ru-RU"/>
        </w:rPr>
      </w:pPr>
      <w:r w:rsidRPr="00B674C5">
        <w:t>ТОВАРИСТВО З ОБМЕЖЕНОЮ ВІДПОВІДАЛЬНІСТЮ «ЗАВОД СТЕКО»</w:t>
      </w:r>
      <w:r w:rsidRPr="00B674C5">
        <w:rPr>
          <w:shd w:val="clear" w:color="auto" w:fill="FFFFFF"/>
        </w:rPr>
        <w:t xml:space="preserve"> </w:t>
      </w:r>
      <w:r w:rsidRPr="00B674C5">
        <w:t>має намір отримати дозвіл на викиди забруднюючих речовин у атмосферне повітря стаціонарними джерелами для виробничого майданчика, який розташований за адресою: 49000 м. Дніпро, Індустріальний район, вулиця Артільна, будинок  2</w:t>
      </w:r>
      <w:r>
        <w:t>, 9-Б, 11</w:t>
      </w:r>
      <w:r w:rsidRPr="00B674C5">
        <w:t>.</w:t>
      </w:r>
    </w:p>
    <w:p w:rsidR="00EB77BB" w:rsidRPr="00B674C5" w:rsidRDefault="00EB77BB" w:rsidP="00EB77BB">
      <w:pPr>
        <w:ind w:firstLine="567"/>
        <w:jc w:val="both"/>
        <w:rPr>
          <w:lang w:eastAsia="ru-RU"/>
        </w:rPr>
      </w:pPr>
      <w:r w:rsidRPr="00B674C5">
        <w:rPr>
          <w:lang w:eastAsia="ru-RU"/>
        </w:rPr>
        <w:t xml:space="preserve">Ідентифікаційний код юридичної особи в ЄДРПОУ – </w:t>
      </w:r>
      <w:r w:rsidRPr="00B674C5">
        <w:t>38114294.</w:t>
      </w:r>
    </w:p>
    <w:p w:rsidR="00EB77BB" w:rsidRPr="00B674C5" w:rsidRDefault="00EB77BB" w:rsidP="00EB77BB">
      <w:pPr>
        <w:ind w:firstLine="567"/>
        <w:rPr>
          <w:lang w:eastAsia="ru-RU"/>
        </w:rPr>
      </w:pPr>
      <w:r w:rsidRPr="00B674C5">
        <w:rPr>
          <w:lang w:eastAsia="ru-RU"/>
        </w:rPr>
        <w:t xml:space="preserve">Юридична адреса: </w:t>
      </w:r>
      <w:r w:rsidRPr="00B674C5">
        <w:t>49000 м. Дніпро, вулиця Артільна, будинок  11</w:t>
      </w:r>
      <w:r w:rsidRPr="00B674C5">
        <w:rPr>
          <w:lang w:eastAsia="ru-RU"/>
        </w:rPr>
        <w:t xml:space="preserve">. </w:t>
      </w:r>
    </w:p>
    <w:p w:rsidR="00EB77BB" w:rsidRPr="00B674C5" w:rsidRDefault="00EB77BB" w:rsidP="00EB77BB">
      <w:pPr>
        <w:rPr>
          <w:lang w:val="ru-RU"/>
        </w:rPr>
      </w:pPr>
      <w:r w:rsidRPr="00B674C5">
        <w:rPr>
          <w:lang w:eastAsia="ru-RU"/>
        </w:rPr>
        <w:t>Контактний номер телефону: +38</w:t>
      </w:r>
      <w:r w:rsidRPr="00B674C5">
        <w:rPr>
          <w:lang w:val="ru-RU" w:eastAsia="ru-RU"/>
        </w:rPr>
        <w:t>0</w:t>
      </w:r>
      <w:r w:rsidRPr="00B674C5">
        <w:rPr>
          <w:lang w:eastAsia="ru-RU"/>
        </w:rPr>
        <w:t>675607484</w:t>
      </w:r>
      <w:r w:rsidRPr="00B674C5">
        <w:rPr>
          <w:i/>
          <w:iCs/>
          <w:lang w:eastAsia="ru-RU"/>
        </w:rPr>
        <w:t xml:space="preserve">, </w:t>
      </w:r>
      <w:r w:rsidRPr="00B674C5">
        <w:rPr>
          <w:iCs/>
          <w:lang w:eastAsia="ru-RU"/>
        </w:rPr>
        <w:t xml:space="preserve">електронна пошта: </w:t>
      </w:r>
      <w:r w:rsidRPr="00B674C5">
        <w:t>ecologist.steko@gmail.com</w:t>
      </w:r>
      <w:r>
        <w:t>.</w:t>
      </w:r>
    </w:p>
    <w:p w:rsidR="00EB77BB" w:rsidRPr="00B674C5" w:rsidRDefault="00EB77BB" w:rsidP="00EB77BB">
      <w:pPr>
        <w:jc w:val="both"/>
        <w:rPr>
          <w:lang w:eastAsia="ru-RU"/>
        </w:rPr>
      </w:pPr>
      <w:r w:rsidRPr="00B674C5">
        <w:rPr>
          <w:lang w:eastAsia="ru-RU"/>
        </w:rPr>
        <w:t xml:space="preserve">Фактична адреса проммайданчика: </w:t>
      </w:r>
      <w:r w:rsidRPr="00B674C5">
        <w:t>49000 м. Дніпро, вулиця Артільна, будинок  2</w:t>
      </w:r>
      <w:r>
        <w:t>, 9-Б, 11</w:t>
      </w:r>
      <w:r w:rsidRPr="00B674C5">
        <w:t>.</w:t>
      </w:r>
    </w:p>
    <w:p w:rsidR="00EB77BB" w:rsidRPr="00B674C5" w:rsidRDefault="00EB77BB" w:rsidP="00EB77BB">
      <w:pPr>
        <w:ind w:firstLine="567"/>
        <w:jc w:val="both"/>
        <w:rPr>
          <w:lang w:eastAsia="ru-RU"/>
        </w:rPr>
      </w:pPr>
      <w:r w:rsidRPr="00B674C5">
        <w:rPr>
          <w:lang w:eastAsia="ru-RU"/>
        </w:rPr>
        <w:t>Мета отримання дозволу на викиди: надання права експлуатувати діючий об'єкт, з якого надходять в атмосферне повітря забруднюючі речовини або їх суміші.</w:t>
      </w:r>
    </w:p>
    <w:p w:rsidR="00EB77BB" w:rsidRPr="00B674C5" w:rsidRDefault="00EB77BB" w:rsidP="00EB77BB">
      <w:pPr>
        <w:ind w:firstLine="567"/>
        <w:jc w:val="both"/>
      </w:pPr>
      <w:r w:rsidRPr="00B674C5">
        <w:t>Відповідно до Закону України «Про оцінку впливу на довкілля» господарська діяльність на проммайданчику ТОВ «ЗАВОД СТЕКО» не підлягає оцінці впливу на довкілля.</w:t>
      </w:r>
    </w:p>
    <w:p w:rsidR="00EB77BB" w:rsidRPr="00B674C5" w:rsidRDefault="00EB77BB" w:rsidP="00EB77BB">
      <w:pPr>
        <w:shd w:val="clear" w:color="auto" w:fill="FFFFFF"/>
        <w:tabs>
          <w:tab w:val="left" w:pos="993"/>
        </w:tabs>
        <w:autoSpaceDE w:val="0"/>
        <w:autoSpaceDN w:val="0"/>
        <w:adjustRightInd w:val="0"/>
        <w:ind w:firstLine="567"/>
        <w:jc w:val="both"/>
        <w:rPr>
          <w:kern w:val="28"/>
          <w:lang w:eastAsia="ru-RU"/>
        </w:rPr>
      </w:pPr>
      <w:r w:rsidRPr="00B674C5">
        <w:t xml:space="preserve">ТОВ «ЗАВОД СТЕКО» спеціалізується на виробництві металопластикових конструкцій (вікна, двері та інше), конструкції з алюмінієвого профілю (фасади, вікна, двері), а також додаткових комплектуюючих </w:t>
      </w:r>
      <w:r w:rsidRPr="00B674C5">
        <w:rPr>
          <w:bCs/>
        </w:rPr>
        <w:t>(відливи, підвіконня, москітні сітки, відкоси термопанельні)</w:t>
      </w:r>
      <w:r w:rsidRPr="00B674C5">
        <w:t>.</w:t>
      </w:r>
    </w:p>
    <w:p w:rsidR="00EB77BB" w:rsidRPr="00B674C5" w:rsidRDefault="00EB77BB" w:rsidP="00EB77BB">
      <w:pPr>
        <w:shd w:val="clear" w:color="auto" w:fill="FFFFFF"/>
        <w:tabs>
          <w:tab w:val="left" w:pos="993"/>
        </w:tabs>
        <w:autoSpaceDE w:val="0"/>
        <w:autoSpaceDN w:val="0"/>
        <w:adjustRightInd w:val="0"/>
        <w:ind w:firstLine="567"/>
        <w:jc w:val="both"/>
        <w:rPr>
          <w:kern w:val="28"/>
          <w:lang w:eastAsia="ru-RU"/>
        </w:rPr>
      </w:pPr>
      <w:r w:rsidRPr="00B674C5">
        <w:rPr>
          <w:kern w:val="28"/>
          <w:lang w:eastAsia="ru-RU"/>
        </w:rPr>
        <w:t>Потужність об’єкту становить: 401118 од. металопластикових конструкцій, 5550 м</w:t>
      </w:r>
      <w:r w:rsidRPr="00B674C5">
        <w:rPr>
          <w:kern w:val="28"/>
          <w:vertAlign w:val="superscript"/>
          <w:lang w:eastAsia="ru-RU"/>
        </w:rPr>
        <w:t>2</w:t>
      </w:r>
      <w:r w:rsidRPr="00B674C5">
        <w:rPr>
          <w:kern w:val="28"/>
          <w:lang w:eastAsia="ru-RU"/>
        </w:rPr>
        <w:t xml:space="preserve"> алюмінієвих конструкцій, 123840 од. відливів 210767 од. москітних сіток, 161443 од. підвіконників, 10496 м</w:t>
      </w:r>
      <w:r w:rsidRPr="00B674C5">
        <w:rPr>
          <w:kern w:val="28"/>
          <w:vertAlign w:val="superscript"/>
          <w:lang w:eastAsia="ru-RU"/>
        </w:rPr>
        <w:t>2</w:t>
      </w:r>
      <w:r w:rsidRPr="00B674C5">
        <w:rPr>
          <w:kern w:val="28"/>
          <w:lang w:eastAsia="ru-RU"/>
        </w:rPr>
        <w:t xml:space="preserve"> відкосів ТП, 400000 од. додаткових профілів.</w:t>
      </w:r>
    </w:p>
    <w:p w:rsidR="00EB77BB" w:rsidRPr="00B674C5" w:rsidRDefault="00EB77BB" w:rsidP="00EB77BB">
      <w:pPr>
        <w:ind w:firstLine="567"/>
        <w:jc w:val="both"/>
        <w:rPr>
          <w:bCs/>
          <w:iCs/>
          <w:lang w:eastAsia="uk-UA"/>
        </w:rPr>
      </w:pPr>
      <w:r w:rsidRPr="00B674C5">
        <w:t>На виробничому майданчику розміщене таке обладнання та споруди, що являються джерелами утворення забруднюючих речовин: дискові пили, фрезерні, свердлильні, заточувальні верстати</w:t>
      </w:r>
      <w:r w:rsidRPr="00B674C5">
        <w:rPr>
          <w:lang w:eastAsia="ru-RU"/>
        </w:rPr>
        <w:t xml:space="preserve">, зварювальні установки для конструкцій ПВХ, екструдери первинної та вторинної герметизації склопакетів, 2 ламінувальні машини, 2 твердопаливних котла типу </w:t>
      </w:r>
      <w:r w:rsidRPr="00B674C5">
        <w:t>Дракон-Енергія потужністю 350 кВт та 100 кВт</w:t>
      </w:r>
      <w:r w:rsidRPr="00B674C5">
        <w:rPr>
          <w:lang w:eastAsia="ru-RU"/>
        </w:rPr>
        <w:t xml:space="preserve">, 2 твердопаливних котла типу </w:t>
      </w:r>
      <w:r w:rsidRPr="00B674C5">
        <w:rPr>
          <w:lang w:val="en-US"/>
        </w:rPr>
        <w:t>Altep</w:t>
      </w:r>
      <w:r w:rsidRPr="00B674C5">
        <w:t xml:space="preserve"> КТ-2Е-95  потужністю 95 кВт,</w:t>
      </w:r>
      <w:r w:rsidRPr="00B674C5">
        <w:rPr>
          <w:lang w:eastAsia="ru-RU"/>
        </w:rPr>
        <w:t xml:space="preserve"> 2 газових котла </w:t>
      </w:r>
      <w:r w:rsidRPr="00B674C5">
        <w:t>Колві-Термона потужністю 97,8 кВт</w:t>
      </w:r>
      <w:r w:rsidRPr="00B674C5">
        <w:rPr>
          <w:lang w:eastAsia="ru-RU"/>
        </w:rPr>
        <w:t>, 10 інфрачервоних газових опалювальних обігрівачів «Геліос» 50</w:t>
      </w:r>
      <w:r w:rsidRPr="00B674C5">
        <w:rPr>
          <w:lang w:val="en-US" w:eastAsia="ru-RU"/>
        </w:rPr>
        <w:t>U</w:t>
      </w:r>
      <w:r w:rsidRPr="00B674C5">
        <w:rPr>
          <w:lang w:eastAsia="ru-RU"/>
        </w:rPr>
        <w:t xml:space="preserve"> потужністю 50 кВт, 4 інфрачервоних газових опалювальних обігрівача «</w:t>
      </w:r>
      <w:r w:rsidRPr="00B674C5">
        <w:rPr>
          <w:lang w:val="en-US" w:eastAsia="ru-RU"/>
        </w:rPr>
        <w:t>Bleckheat</w:t>
      </w:r>
      <w:r w:rsidRPr="00B674C5">
        <w:rPr>
          <w:lang w:eastAsia="ru-RU"/>
        </w:rPr>
        <w:t xml:space="preserve"> 50» номінальною тепловою потужністю 50 кВт, 4 інфрачервоних газових опалювальних обігрівача «</w:t>
      </w:r>
      <w:r w:rsidRPr="00B674C5">
        <w:rPr>
          <w:lang w:val="en-US" w:eastAsia="ru-RU"/>
        </w:rPr>
        <w:t>Bleckheat</w:t>
      </w:r>
      <w:r w:rsidRPr="00B674C5">
        <w:rPr>
          <w:lang w:eastAsia="ru-RU"/>
        </w:rPr>
        <w:t xml:space="preserve"> 25» номінальною тепловою потужністю 25 кВт, </w:t>
      </w:r>
      <w:r w:rsidRPr="00B674C5">
        <w:t>пускозарядний пристрій</w:t>
      </w:r>
      <w:r w:rsidRPr="00B674C5">
        <w:rPr>
          <w:kern w:val="28"/>
          <w:lang w:eastAsia="ru-RU"/>
        </w:rPr>
        <w:t>, автозаправний пункт з резервуаром місткістю 11,55 м</w:t>
      </w:r>
      <w:r w:rsidRPr="00B674C5">
        <w:rPr>
          <w:kern w:val="28"/>
          <w:vertAlign w:val="superscript"/>
          <w:lang w:eastAsia="ru-RU"/>
        </w:rPr>
        <w:t>3</w:t>
      </w:r>
      <w:r w:rsidRPr="00B674C5">
        <w:rPr>
          <w:kern w:val="28"/>
          <w:lang w:eastAsia="ru-RU"/>
        </w:rPr>
        <w:t xml:space="preserve"> для дизельного пального та паливороздавальною колонкою типу </w:t>
      </w:r>
      <w:r w:rsidRPr="00B674C5">
        <w:t>Прайм ПЛ-50</w:t>
      </w:r>
      <w:r w:rsidRPr="00B674C5">
        <w:rPr>
          <w:kern w:val="28"/>
          <w:lang w:eastAsia="ru-RU"/>
        </w:rPr>
        <w:t xml:space="preserve">, дизель-генератор </w:t>
      </w:r>
      <w:r w:rsidRPr="00B674C5">
        <w:rPr>
          <w:lang w:val="en-US"/>
        </w:rPr>
        <w:t>GNT</w:t>
      </w:r>
      <w:r w:rsidRPr="00B674C5">
        <w:t>-410 потужністю 328 кВт/год</w:t>
      </w:r>
      <w:r w:rsidRPr="00B674C5">
        <w:rPr>
          <w:kern w:val="28"/>
          <w:lang w:eastAsia="ru-RU"/>
        </w:rPr>
        <w:t xml:space="preserve"> </w:t>
      </w:r>
      <w:r w:rsidRPr="00B674C5">
        <w:t>на випадок аварійного відключення енергопостачання; автонавантажувачі (9 од.),  стоянка для зберігання автомашин. Для поточного ремонту проводяться зварювальні та фарбувальні роботи.</w:t>
      </w:r>
    </w:p>
    <w:p w:rsidR="00EB77BB" w:rsidRPr="00B674C5" w:rsidRDefault="00EB77BB" w:rsidP="00EB77BB">
      <w:pPr>
        <w:ind w:firstLine="567"/>
        <w:jc w:val="both"/>
        <w:rPr>
          <w:lang w:eastAsia="ru-RU"/>
        </w:rPr>
      </w:pPr>
      <w:r w:rsidRPr="00B674C5">
        <w:rPr>
          <w:lang w:eastAsia="ru-RU"/>
        </w:rPr>
        <w:t>На майданчику розміщується 60 стаціонарних джерел викиду (з них 41 – організоване джерело та 19 – неорганізованих).</w:t>
      </w:r>
    </w:p>
    <w:p w:rsidR="00EB77BB" w:rsidRPr="00B674C5" w:rsidRDefault="00EB77BB" w:rsidP="00EB77BB">
      <w:pPr>
        <w:ind w:firstLine="567"/>
        <w:jc w:val="both"/>
      </w:pPr>
      <w:r w:rsidRPr="00B674C5">
        <w:t>Річна кількість викидів забруднюючих речовин становить 380,017 т, у тому числі парникові гази (366,347 т): речовини у вигляді суспендованих твердих частинок недиференційованих за складом – 1,013 т/рік, сажа – 0,154 т/рік, оксиди азоту (оксид та діоксид азоту) у перерахунку на діоксид азоту – 1,176 т/рік, діоксид сірки (діоксид та триоксид) у перерахунку на діоксид сірки - 0,111 т/рік,  залізо та його сполуки (у перерахунку на залізо) – 0,0005 т/рік, манган та його сполуки (у перерахунку на діоксид мангану) – 0,00007 т/рік,  ртуть та її сполуки (у перерахунку на ртуть) – 0,000000158 т/рік,  сульфатна кислота (H</w:t>
      </w:r>
      <w:r w:rsidRPr="00B674C5">
        <w:rPr>
          <w:vertAlign w:val="subscript"/>
        </w:rPr>
        <w:t>2</w:t>
      </w:r>
      <w:r w:rsidRPr="00B674C5">
        <w:t>SO</w:t>
      </w:r>
      <w:r w:rsidRPr="00B674C5">
        <w:rPr>
          <w:vertAlign w:val="subscript"/>
        </w:rPr>
        <w:t>4</w:t>
      </w:r>
      <w:r w:rsidRPr="00B674C5">
        <w:t>)(cірчана кислота) – 0,0004 т/рік, оксид вуглецю – 1,85844 т/рік, вуглеводні насичені C</w:t>
      </w:r>
      <w:r w:rsidRPr="00B674C5">
        <w:rPr>
          <w:vertAlign w:val="subscript"/>
        </w:rPr>
        <w:t>12</w:t>
      </w:r>
      <w:r w:rsidRPr="00B674C5">
        <w:t>-C</w:t>
      </w:r>
      <w:r w:rsidRPr="00B674C5">
        <w:rPr>
          <w:vertAlign w:val="subscript"/>
        </w:rPr>
        <w:t>19</w:t>
      </w:r>
      <w:r w:rsidRPr="00B674C5">
        <w:t xml:space="preserve"> (розчинник РПК-26511 та ін.) у перерахунку на сумарний органічний вуглець – 0,2057 т/рік, </w:t>
      </w:r>
      <w:r w:rsidRPr="00B674C5">
        <w:rPr>
          <w:lang w:eastAsia="uk-UA"/>
        </w:rPr>
        <w:t>суміш насичених вуглеводнів С</w:t>
      </w:r>
      <w:r w:rsidRPr="00B674C5">
        <w:rPr>
          <w:vertAlign w:val="subscript"/>
          <w:lang w:eastAsia="uk-UA"/>
        </w:rPr>
        <w:t>2</w:t>
      </w:r>
      <w:r w:rsidRPr="00B674C5">
        <w:rPr>
          <w:lang w:eastAsia="uk-UA"/>
        </w:rPr>
        <w:t>-С</w:t>
      </w:r>
      <w:r w:rsidRPr="00B674C5">
        <w:rPr>
          <w:vertAlign w:val="subscript"/>
          <w:lang w:eastAsia="uk-UA"/>
        </w:rPr>
        <w:t>8</w:t>
      </w:r>
      <w:r w:rsidRPr="00B674C5">
        <w:rPr>
          <w:lang w:eastAsia="uk-UA"/>
        </w:rPr>
        <w:t xml:space="preserve"> і суміш насичених і ненасичених вуглеводнів С</w:t>
      </w:r>
      <w:r w:rsidRPr="00B674C5">
        <w:rPr>
          <w:vertAlign w:val="subscript"/>
          <w:lang w:eastAsia="uk-UA"/>
        </w:rPr>
        <w:t>1</w:t>
      </w:r>
      <w:r w:rsidRPr="00B674C5">
        <w:rPr>
          <w:lang w:eastAsia="uk-UA"/>
        </w:rPr>
        <w:t>-С</w:t>
      </w:r>
      <w:r w:rsidRPr="00B674C5">
        <w:rPr>
          <w:vertAlign w:val="subscript"/>
          <w:lang w:eastAsia="uk-UA"/>
        </w:rPr>
        <w:t xml:space="preserve">4  </w:t>
      </w:r>
      <w:r w:rsidRPr="00B674C5">
        <w:rPr>
          <w:lang w:eastAsia="uk-UA"/>
        </w:rPr>
        <w:t xml:space="preserve">- 0,0003 т/рік, </w:t>
      </w:r>
      <w:r w:rsidRPr="00B674C5">
        <w:t xml:space="preserve">неметанові леткі органічні сполуки (НМЛОС) – 0,122 т/рік, уайт-спірит – 0,363 т/рік, ксилол – 0,265 т/рік, 2-метилпропен – 0,00012 т/рік, етиленгліколь – 0,7 т/рік, акролеїн – 0,000001 т/рік, етилацетат  – 4,425 т/рік, масло мінеральне нафтове – 0,04039 т/рік, кислота оцтова – 0,000026 т/рік, вініл хлористий – 0,00457 т/рік, метилен хлористий – 3,23 т/рік, вуглецю діоксид – </w:t>
      </w:r>
      <w:r w:rsidRPr="00B674C5">
        <w:lastRenderedPageBreak/>
        <w:t>366,321 т/рік, азоту (1) оксид (N</w:t>
      </w:r>
      <w:r w:rsidRPr="00B674C5">
        <w:rPr>
          <w:vertAlign w:val="subscript"/>
        </w:rPr>
        <w:t>2</w:t>
      </w:r>
      <w:r w:rsidRPr="00B674C5">
        <w:t>O) - 0,010968 т/рік, метан – 0,0155 т/рік. Викиди забруднюючих речовин знаходяться в межах гранично-допустимих норм.</w:t>
      </w:r>
    </w:p>
    <w:p w:rsidR="00EB77BB" w:rsidRPr="00B674C5" w:rsidRDefault="00EB77BB" w:rsidP="00EB77BB">
      <w:pPr>
        <w:shd w:val="clear" w:color="auto" w:fill="FFFFFF"/>
        <w:ind w:firstLine="567"/>
        <w:jc w:val="both"/>
      </w:pPr>
      <w:r w:rsidRPr="00B674C5">
        <w:t>Відповідно до статті 11 Закону України «Про охорону атмосферного повітря», даний об’єкт належить до другої групи по ступеню впливу на забруднення атмосферного повітря. Виробничий майданчик не має виробництва чи технологічного устаткування, на яких повинні впроваджуватися найкращі доступні технології та методи керування.</w:t>
      </w:r>
    </w:p>
    <w:p w:rsidR="00EB77BB" w:rsidRPr="00B674C5" w:rsidRDefault="00EB77BB" w:rsidP="00EB77BB">
      <w:pPr>
        <w:shd w:val="clear" w:color="auto" w:fill="FFFFFF"/>
        <w:ind w:firstLine="567"/>
        <w:jc w:val="both"/>
      </w:pPr>
      <w:r w:rsidRPr="00B674C5">
        <w:t>На об’єкті підприємства не планується впровадження заходів щодо скорочення викидів забруднюючих речовин в атмосферне повітря, тому що на даний час не має перевищень встановлених нормативів граничнодопустимих викидів забруднюючих речовин.</w:t>
      </w:r>
    </w:p>
    <w:p w:rsidR="00EB77BB" w:rsidRPr="00B674C5" w:rsidRDefault="00EB77BB" w:rsidP="00EB77BB">
      <w:pPr>
        <w:shd w:val="clear" w:color="auto" w:fill="FFFFFF"/>
        <w:ind w:firstLine="567"/>
        <w:jc w:val="both"/>
      </w:pPr>
      <w:r w:rsidRPr="00B674C5">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w:t>
      </w:r>
    </w:p>
    <w:p w:rsidR="00EB77BB" w:rsidRPr="00EB77BB" w:rsidRDefault="00EB77BB" w:rsidP="00EB77BB">
      <w:pPr>
        <w:pStyle w:val="a3"/>
        <w:shd w:val="clear" w:color="auto" w:fill="FFFFFF"/>
        <w:spacing w:after="0" w:line="240" w:lineRule="auto"/>
        <w:ind w:left="0" w:firstLine="567"/>
        <w:jc w:val="both"/>
        <w:textAlignment w:val="baseline"/>
        <w:rPr>
          <w:rFonts w:ascii="Times New Roman" w:hAnsi="Times New Roman" w:cs="Times New Roman"/>
          <w:sz w:val="24"/>
          <w:szCs w:val="24"/>
          <w:lang w:eastAsia="ru-RU"/>
        </w:rPr>
      </w:pPr>
      <w:r w:rsidRPr="00B674C5">
        <w:rPr>
          <w:rFonts w:ascii="Times New Roman" w:hAnsi="Times New Roman" w:cs="Times New Roman"/>
          <w:sz w:val="24"/>
          <w:szCs w:val="24"/>
        </w:rPr>
        <w:t xml:space="preserve">Зауваження та пропозиції громадських організацій та окремих громадян щодо наміру отримання Дозволу можна надсилати протягом 30 календарних днів, з дня опублікування цього повідомлення, до Дніпропетровської обласної державної адміністрації за адресою: 49004, </w:t>
      </w:r>
      <w:proofErr w:type="spellStart"/>
      <w:r w:rsidRPr="00B674C5">
        <w:rPr>
          <w:rFonts w:ascii="Times New Roman" w:hAnsi="Times New Roman" w:cs="Times New Roman"/>
          <w:sz w:val="24"/>
          <w:szCs w:val="24"/>
        </w:rPr>
        <w:t>м.Дніпро</w:t>
      </w:r>
      <w:proofErr w:type="spellEnd"/>
      <w:r w:rsidRPr="00B674C5">
        <w:rPr>
          <w:rFonts w:ascii="Times New Roman" w:hAnsi="Times New Roman" w:cs="Times New Roman"/>
          <w:sz w:val="24"/>
          <w:szCs w:val="24"/>
          <w:lang w:eastAsia="ru-RU"/>
        </w:rPr>
        <w:t>,</w:t>
      </w:r>
      <w:r w:rsidRPr="00B674C5">
        <w:rPr>
          <w:rFonts w:ascii="Times New Roman" w:hAnsi="Times New Roman" w:cs="Times New Roman"/>
          <w:sz w:val="24"/>
          <w:szCs w:val="24"/>
        </w:rPr>
        <w:t xml:space="preserve"> </w:t>
      </w:r>
      <w:hyperlink r:id="rId5" w:tgtFrame="_blank" w:history="1">
        <w:r w:rsidRPr="00B674C5">
          <w:rPr>
            <w:rFonts w:ascii="Times New Roman" w:eastAsia="Times New Roman" w:hAnsi="Times New Roman" w:cs="Times New Roman"/>
            <w:bCs/>
            <w:sz w:val="24"/>
            <w:szCs w:val="24"/>
            <w:bdr w:val="none" w:sz="0" w:space="0" w:color="auto" w:frame="1"/>
            <w:lang w:eastAsia="ru-RU"/>
          </w:rPr>
          <w:t xml:space="preserve">проспект О.Поля, 1, </w:t>
        </w:r>
      </w:hyperlink>
      <w:r w:rsidRPr="00B674C5">
        <w:rPr>
          <w:rFonts w:ascii="Times New Roman" w:hAnsi="Times New Roman" w:cs="Times New Roman"/>
          <w:sz w:val="24"/>
          <w:szCs w:val="24"/>
          <w:lang w:eastAsia="ru-RU"/>
        </w:rPr>
        <w:t xml:space="preserve"> </w:t>
      </w:r>
      <w:proofErr w:type="spellStart"/>
      <w:r w:rsidRPr="00B674C5">
        <w:rPr>
          <w:rFonts w:ascii="Times New Roman" w:hAnsi="Times New Roman" w:cs="Times New Roman"/>
          <w:sz w:val="24"/>
          <w:szCs w:val="24"/>
          <w:lang w:eastAsia="ru-RU"/>
        </w:rPr>
        <w:t>тел</w:t>
      </w:r>
      <w:proofErr w:type="spellEnd"/>
      <w:r w:rsidRPr="00B674C5">
        <w:rPr>
          <w:rFonts w:ascii="Times New Roman" w:hAnsi="Times New Roman" w:cs="Times New Roman"/>
          <w:sz w:val="24"/>
          <w:szCs w:val="24"/>
          <w:lang w:eastAsia="ru-RU"/>
        </w:rPr>
        <w:t xml:space="preserve">, </w:t>
      </w:r>
      <w:hyperlink r:id="rId6" w:history="1">
        <w:r w:rsidRPr="00B674C5">
          <w:rPr>
            <w:rFonts w:ascii="Times New Roman" w:eastAsia="Times New Roman" w:hAnsi="Times New Roman" w:cs="Times New Roman"/>
            <w:bCs/>
            <w:sz w:val="24"/>
            <w:szCs w:val="24"/>
            <w:bdr w:val="none" w:sz="0" w:space="0" w:color="auto" w:frame="1"/>
            <w:lang w:eastAsia="ru-RU"/>
          </w:rPr>
          <w:t>+38 (056) 742-70-57</w:t>
        </w:r>
      </w:hyperlink>
      <w:r w:rsidRPr="00B674C5">
        <w:rPr>
          <w:rFonts w:ascii="Times New Roman" w:hAnsi="Times New Roman" w:cs="Times New Roman"/>
          <w:sz w:val="24"/>
          <w:szCs w:val="24"/>
          <w:lang w:eastAsia="ru-RU"/>
        </w:rPr>
        <w:t xml:space="preserve">, або на електронну пошту: </w:t>
      </w:r>
      <w:proofErr w:type="spellStart"/>
      <w:r w:rsidRPr="00EB77BB">
        <w:rPr>
          <w:rFonts w:ascii="Times New Roman" w:hAnsi="Times New Roman" w:cs="Times New Roman"/>
          <w:color w:val="222222"/>
          <w:sz w:val="24"/>
          <w:szCs w:val="24"/>
          <w:shd w:val="clear" w:color="auto" w:fill="FFFFFF"/>
        </w:rPr>
        <w:t>info</w:t>
      </w:r>
      <w:proofErr w:type="spellEnd"/>
      <w:r w:rsidRPr="00EB77BB">
        <w:rPr>
          <w:rFonts w:ascii="Times New Roman" w:hAnsi="Times New Roman" w:cs="Times New Roman"/>
          <w:color w:val="222222"/>
          <w:sz w:val="24"/>
          <w:szCs w:val="24"/>
          <w:shd w:val="clear" w:color="auto" w:fill="FFFFFF"/>
        </w:rPr>
        <w:t>@adm.dp.gov</w:t>
      </w:r>
      <w:r>
        <w:rPr>
          <w:rFonts w:ascii="Times New Roman" w:hAnsi="Times New Roman" w:cs="Times New Roman"/>
          <w:color w:val="222222"/>
          <w:sz w:val="24"/>
          <w:szCs w:val="24"/>
          <w:shd w:val="clear" w:color="auto" w:fill="FFFFFF"/>
        </w:rPr>
        <w:t>.</w:t>
      </w:r>
      <w:proofErr w:type="spellStart"/>
      <w:r>
        <w:rPr>
          <w:rFonts w:ascii="Times New Roman" w:hAnsi="Times New Roman" w:cs="Times New Roman"/>
          <w:color w:val="222222"/>
          <w:sz w:val="24"/>
          <w:szCs w:val="24"/>
          <w:shd w:val="clear" w:color="auto" w:fill="FFFFFF"/>
          <w:lang w:val="en-US"/>
        </w:rPr>
        <w:t>ua</w:t>
      </w:r>
      <w:proofErr w:type="spellEnd"/>
      <w:r w:rsidRPr="00EB77BB">
        <w:rPr>
          <w:rFonts w:ascii="Times New Roman" w:hAnsi="Times New Roman" w:cs="Times New Roman"/>
          <w:color w:val="222222"/>
          <w:sz w:val="24"/>
          <w:szCs w:val="24"/>
          <w:shd w:val="clear" w:color="auto" w:fill="FFFFFF"/>
        </w:rPr>
        <w:t>.</w:t>
      </w:r>
      <w:bookmarkStart w:id="0" w:name="_GoBack"/>
      <w:bookmarkEnd w:id="0"/>
    </w:p>
    <w:p w:rsidR="00407329" w:rsidRPr="00BF7440" w:rsidRDefault="00407329"/>
    <w:sectPr w:rsidR="00407329" w:rsidRPr="00BF7440" w:rsidSect="00EB77B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40"/>
    <w:rsid w:val="000933A6"/>
    <w:rsid w:val="00183F93"/>
    <w:rsid w:val="00341E2B"/>
    <w:rsid w:val="00407329"/>
    <w:rsid w:val="00594318"/>
    <w:rsid w:val="005A2206"/>
    <w:rsid w:val="00781734"/>
    <w:rsid w:val="008A4DEB"/>
    <w:rsid w:val="00A42304"/>
    <w:rsid w:val="00B43E5D"/>
    <w:rsid w:val="00BF7440"/>
    <w:rsid w:val="00E7418F"/>
    <w:rsid w:val="00EB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40"/>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BF7440"/>
    <w:pPr>
      <w:keepNext/>
      <w:tabs>
        <w:tab w:val="left" w:pos="1080"/>
      </w:tabs>
      <w:spacing w:line="360" w:lineRule="auto"/>
      <w:jc w:val="both"/>
      <w:outlineLvl w:val="0"/>
    </w:pPr>
    <w:rPr>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440"/>
    <w:rPr>
      <w:rFonts w:ascii="Times New Roman" w:eastAsia="Times New Roman" w:hAnsi="Times New Roman" w:cs="Times New Roman"/>
      <w:noProof/>
      <w:color w:val="000000"/>
      <w:sz w:val="28"/>
      <w:szCs w:val="28"/>
      <w:lang w:val="uk-UA"/>
    </w:rPr>
  </w:style>
  <w:style w:type="paragraph" w:styleId="a3">
    <w:name w:val="List Paragraph"/>
    <w:basedOn w:val="a"/>
    <w:link w:val="a4"/>
    <w:uiPriority w:val="34"/>
    <w:qFormat/>
    <w:rsid w:val="00BF7440"/>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4">
    <w:name w:val="Абзац списка Знак"/>
    <w:link w:val="a3"/>
    <w:uiPriority w:val="34"/>
    <w:locked/>
    <w:rsid w:val="00BF7440"/>
    <w:rPr>
      <w:lang w:val="uk-UA"/>
    </w:rPr>
  </w:style>
  <w:style w:type="character" w:styleId="a5">
    <w:name w:val="Hyperlink"/>
    <w:basedOn w:val="a0"/>
    <w:uiPriority w:val="99"/>
    <w:unhideWhenUsed/>
    <w:rsid w:val="00EB77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40"/>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BF7440"/>
    <w:pPr>
      <w:keepNext/>
      <w:tabs>
        <w:tab w:val="left" w:pos="1080"/>
      </w:tabs>
      <w:spacing w:line="360" w:lineRule="auto"/>
      <w:jc w:val="both"/>
      <w:outlineLvl w:val="0"/>
    </w:pPr>
    <w:rPr>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440"/>
    <w:rPr>
      <w:rFonts w:ascii="Times New Roman" w:eastAsia="Times New Roman" w:hAnsi="Times New Roman" w:cs="Times New Roman"/>
      <w:noProof/>
      <w:color w:val="000000"/>
      <w:sz w:val="28"/>
      <w:szCs w:val="28"/>
      <w:lang w:val="uk-UA"/>
    </w:rPr>
  </w:style>
  <w:style w:type="paragraph" w:styleId="a3">
    <w:name w:val="List Paragraph"/>
    <w:basedOn w:val="a"/>
    <w:link w:val="a4"/>
    <w:uiPriority w:val="34"/>
    <w:qFormat/>
    <w:rsid w:val="00BF7440"/>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4">
    <w:name w:val="Абзац списка Знак"/>
    <w:link w:val="a3"/>
    <w:uiPriority w:val="34"/>
    <w:locked/>
    <w:rsid w:val="00BF7440"/>
    <w:rPr>
      <w:lang w:val="uk-UA"/>
    </w:rPr>
  </w:style>
  <w:style w:type="character" w:styleId="a5">
    <w:name w:val="Hyperlink"/>
    <w:basedOn w:val="a0"/>
    <w:uiPriority w:val="99"/>
    <w:unhideWhenUsed/>
    <w:rsid w:val="00EB77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80567427057" TargetMode="External"/><Relationship Id="rId5" Type="http://schemas.openxmlformats.org/officeDocument/2006/relationships/hyperlink" Target="https://www.google.com/maps/place/%D0%BF%D1%80%D0%BE%D1%81%D0%BF.+%D0%90%D0%BB%D0%B5%D0%BA%D1%81%D0%B0%D0%BD%D0%B4%D1%80%D0%B0+%D0%9F%D0%BE%D0%BB%D1%8F,+1,+%D0%94%D0%BD%D0%B8%D0%BF%D1%80%D0%BE,+%D0%94%D0%BD%D0%B5%D0%BF%D1%80%D0%BE%D0%BF%D0%B5%D1%82%D1%80%D0%BE%D0%B2%D1%81%D0%BA%D0%B0%D1%8F+%D0%BE%D0%B1%D0%BB%D0%B0%D1%81%D1%82%D1%8C,+49000/@48.4666696,35.0282478,17z/data=!3m1!4b1!4m5!3m4!1s0x40dbe2e35795c2eb:0x4ec28a37ad5d52ed!8m2!3d48.4666696!4d35.03043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2025-07-10T12:18:00Z</dcterms:created>
  <dcterms:modified xsi:type="dcterms:W3CDTF">2025-07-28T11:09:00Z</dcterms:modified>
</cp:coreProperties>
</file>